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English 9</w:t>
        <w:tab/>
        <w:tab/>
        <w:tab/>
        <w:tab/>
        <w:tab/>
        <w:tab/>
        <w:tab/>
        <w:tab/>
        <w:t xml:space="preserve">Ms. Valani and Ms. Fleming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1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u w:val="single"/>
          <w:rtl w:val="0"/>
        </w:rPr>
        <w:t xml:space="preserve">TedEd: Hero’s Journey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(https://ed.ted.com/lessons/what-makes-a-hero-matthew-winkler)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Who came up with the idea of the Hero’s Journey?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How many versions are there of the Hero’s Journey?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3. What specific examples are given in the video clip?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 What are examples of hero journeys in our everyday lives?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5. “The cave you fear to enter holds the treasure you seek.” Why is this quote included in the video?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Below are the steps to a Hero’s journey. Complete the steps for Arthur Dent. 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-571499</wp:posOffset>
            </wp:positionH>
            <wp:positionV relativeFrom="paragraph">
              <wp:posOffset>38100</wp:posOffset>
            </wp:positionV>
            <wp:extent cx="6881746" cy="5033963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81746" cy="50339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The Hitchhiker’s Guide to the Galaxy - Hero’s Journey 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Earth where Arthur leads an ordinary life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The new normal is being in space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Call to Action: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Assistance: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Departure: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Trials: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Approach: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Crisis: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Treasure: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Result: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Return: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New Life: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Resolution: 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