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Eating Poetry </w:t>
      </w:r>
    </w:p>
    <w:p w:rsidR="00000000" w:rsidDel="00000000" w:rsidP="00000000" w:rsidRDefault="00000000" w:rsidRPr="00000000">
      <w:pPr>
        <w:contextualSpacing w:val="0"/>
        <w:jc w:val="center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494949"/>
          <w:sz w:val="28"/>
          <w:szCs w:val="28"/>
          <w:rtl w:val="0"/>
        </w:rPr>
        <w:t xml:space="preserve">BY </w:t>
      </w:r>
      <w:r w:rsidDel="00000000" w:rsidR="00000000" w:rsidRPr="00000000">
        <w:fldChar w:fldCharType="begin"/>
        <w:instrText xml:space="preserve"> HYPERLINK "https://www.poetryfoundation.org/poets/mark-strand" </w:instrText>
        <w:fldChar w:fldCharType="separate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MARK STRAND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fldChar w:fldCharType="end"/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Ink runs from the corners of my mouth.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There is no happiness like mine.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I have been eating poetry.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The librarian does not believe what she sees.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Her eyes are sad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and she walks with her hands in her dress.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The poems are gone.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The light is dim.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The dogs are on the basement stairs and coming up.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Their eyeballs roll,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their blond legs burn like brush.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The poor librarian begins to stamp her feet and weep.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She does not understand.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When I get on my knees and lick her hand,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she screams.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I am a new man.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I snarl at her and bark.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I romp with joy in the bookish dark.</w:t>
      </w:r>
    </w:p>
    <w:p w:rsidR="00000000" w:rsidDel="00000000" w:rsidP="00000000" w:rsidRDefault="00000000" w:rsidRPr="00000000">
      <w:pPr>
        <w:ind w:left="240"/>
        <w:contextualSpacing w:val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>
          <w:rFonts w:ascii="Times New Roman" w:cs="Times New Roman" w:eastAsia="Times New Roman" w:hAnsi="Times New Roman"/>
          <w:sz w:val="30"/>
          <w:szCs w:val="3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30"/>
          <w:szCs w:val="30"/>
          <w:u w:val="single"/>
          <w:rtl w:val="0"/>
        </w:rPr>
        <w:t xml:space="preserve">Questions </w:t>
      </w:r>
    </w:p>
    <w:p w:rsidR="00000000" w:rsidDel="00000000" w:rsidP="00000000" w:rsidRDefault="00000000" w:rsidRPr="00000000">
      <w:pPr>
        <w:ind w:left="0" w:firstLine="0"/>
        <w:contextualSpacing w:val="0"/>
        <w:rPr>
          <w:rFonts w:ascii="Times New Roman" w:cs="Times New Roman" w:eastAsia="Times New Roman" w:hAnsi="Times New Roman"/>
          <w:sz w:val="30"/>
          <w:szCs w:val="3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Describe the tone of the speaker within the first stanza using evidence from the poem.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Identify an example of imagery from the poem above. What is the effect / significance of this description?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dogs should be understood as a symbol. What do you think they symbolize for the speaker of this poem especially considering he turns into one by Stanza 5. 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What role does the librarian play within the poem? How is she contrasted with our speaker?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By the poem’s end do you believe that our speaker is literally eating poetry? What might be the metaphorical meaning of “eating poetry”, and the result of this action? 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List one other device used within the poem that has not  been mentioned in any of the above questions. Cite the line and the device below.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Write a theme statement for the poem above.  </w:t>
      </w:r>
    </w:p>
    <w:p w:rsidR="00000000" w:rsidDel="00000000" w:rsidP="00000000" w:rsidRDefault="00000000" w:rsidRPr="000000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rPr/>
    </w:pPr>
    <w:r w:rsidDel="00000000" w:rsidR="00000000" w:rsidRPr="00000000">
      <w:rPr>
        <w:rtl w:val="0"/>
      </w:rPr>
      <w:t xml:space="preserve">Name: _________________________</w:t>
      <w:tab/>
      <w:tab/>
      <w:tab/>
      <w:tab/>
      <w:tab/>
      <w:t xml:space="preserve">Date: 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